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AE6592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E659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SUMO DE BABOSA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AE659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25351.680250/2018-06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1B7B56">
                              <w:t>15</w:t>
                            </w:r>
                            <w:r w:rsidR="00CA1434">
                              <w:t>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AE6592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E6592">
                        <w:rPr>
                          <w:rFonts w:ascii="Myriad Pro" w:hAnsi="Myriad Pro"/>
                          <w:sz w:val="18"/>
                          <w:szCs w:val="18"/>
                        </w:rPr>
                        <w:t>O SUMO DE BABOSA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AE6592">
                        <w:rPr>
                          <w:rFonts w:ascii="Myriad Pro" w:hAnsi="Myriad Pro"/>
                          <w:sz w:val="18"/>
                          <w:szCs w:val="18"/>
                        </w:rPr>
                        <w:t>25351.680250/2018-06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1B7B56">
                        <w:t>15</w:t>
                      </w:r>
                      <w:r w:rsidR="00CA1434">
                        <w:t>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63" w:tblpY="578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B51464" w:rsidRPr="00F5749F" w:rsidTr="00B51464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B51464" w:rsidRPr="00F5749F" w:rsidRDefault="00B51464" w:rsidP="00B51464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B51464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96F2A" wp14:editId="6F3A9B9C">
                <wp:simplePos x="0" y="0"/>
                <wp:positionH relativeFrom="column">
                  <wp:posOffset>-708660</wp:posOffset>
                </wp:positionH>
                <wp:positionV relativeFrom="paragraph">
                  <wp:posOffset>4227195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AE6592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Sumo de Babosa Soft Hair é uma p</w:t>
                            </w:r>
                            <w:r w:rsidRPr="00AE659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olpa pura para misturinhas e hidratação intensa dos seus cabelos.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AE6592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Babosa ou </w:t>
                            </w:r>
                            <w:proofErr w:type="spellStart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Vera é uma rica fonte de hidratação para os </w:t>
                            </w:r>
                            <w:proofErr w:type="spellStart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ﬁos</w:t>
                            </w:r>
                            <w:proofErr w:type="spellEnd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por possuir muita água e minerais, além de auxiliar na produção de colágeno, tornando o </w:t>
                            </w:r>
                            <w:proofErr w:type="spellStart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ﬁo</w:t>
                            </w:r>
                            <w:proofErr w:type="spellEnd"/>
                            <w:r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mais forte, saudável e menos quebradiço.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c</w:t>
                            </w:r>
                            <w:r w:rsidRPr="00AE659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abelos oleosos, fracos, opacos e quebradiços.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4F4EC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B51464" w:rsidRDefault="00B51464" w:rsidP="00B51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46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Produto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vegano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livre de testes em animais e ingredientes de origem animal. Contém sumo natural de babosa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Uso capilar. Conserve em local seco e fresco, longe das fontes de luz e calor. Não aquecer em micro-ondas. Livre de glúten.</w:t>
                            </w:r>
                          </w:p>
                          <w:p w:rsidR="00DD46DA" w:rsidRDefault="00DD46D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6592" w:rsidRPr="00392420" w:rsidRDefault="00AE659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AE6592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MISTURINHAS COM MÁSCARAS: Após a lavagem com Shampoo, adicione a quantidade desejada do Sumo de Babosa ao creme de sua preferência, deixe agir por 10 minutos, enxágue e condicione. Finalize como de costume.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INDÚSTRIA E COM. DE COSMÉTICOS </w:t>
                            </w:r>
                            <w:proofErr w:type="gramStart"/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LTDA</w:t>
                            </w:r>
                            <w:proofErr w:type="gramEnd"/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Rua Reis de Abreu, n° 540 - B. </w:t>
                            </w:r>
                            <w:proofErr w:type="gramStart"/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DD46DA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 MG - CNPJ: 22.043.780/0001-90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</w:t>
                            </w:r>
                            <w:proofErr w:type="spellEnd"/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25351.680250/2018-06 / </w:t>
                            </w:r>
                            <w:proofErr w:type="gramStart"/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proofErr w:type="gramEnd"/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MS 2.01236.1 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Resp. Téc. Hermes da Fonseca/ CRQ 02300116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8pt;margin-top:332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GvrQY+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AE6592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 Sumo de Babosa Soft Hair é uma p</w:t>
                      </w:r>
                      <w:r w:rsidRPr="00AE6592">
                        <w:rPr>
                          <w:rFonts w:ascii="Myriad Pro" w:hAnsi="Myriad Pro"/>
                          <w:sz w:val="18"/>
                          <w:szCs w:val="18"/>
                        </w:rPr>
                        <w:t>olpa pura para misturinhas e hidratação intensa dos seus cabelos.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AE6592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Babosa ou </w:t>
                      </w:r>
                      <w:proofErr w:type="spellStart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Vera é uma rica fonte de hidratação para os </w:t>
                      </w:r>
                      <w:proofErr w:type="spellStart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ﬁos</w:t>
                      </w:r>
                      <w:proofErr w:type="spellEnd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por possuir muita água e minerais, além de auxiliar na produção de colágeno, tornando o </w:t>
                      </w:r>
                      <w:proofErr w:type="spellStart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ﬁo</w:t>
                      </w:r>
                      <w:proofErr w:type="spellEnd"/>
                      <w:r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mais forte, saudável e menos quebradiço.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c</w:t>
                      </w:r>
                      <w:r w:rsidRPr="00AE659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abelos oleosos, fracos, opacos e quebradiços.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4F4EC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B51464" w:rsidRDefault="00B51464" w:rsidP="00B51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B5146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Produto </w:t>
                      </w:r>
                      <w:proofErr w:type="spellStart"/>
                      <w:r w:rsidRPr="00B5146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vegano</w:t>
                      </w:r>
                      <w:proofErr w:type="spellEnd"/>
                      <w:r w:rsidRPr="00B5146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livre de testes em animais e ingredientes de origem animal. Contém sumo natural de babosa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Uso capilar. Conserve em local seco e fresco, longe das fontes de luz e calor. Não aquecer em micro-ondas. Livre de glúten.</w:t>
                      </w:r>
                    </w:p>
                    <w:p w:rsidR="00DD46DA" w:rsidRDefault="00DD46D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AE6592" w:rsidRPr="00392420" w:rsidRDefault="00AE659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AE6592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MISTURINHAS COM MÁSCARAS: Após a lavagem com Shampoo, adicione a quantidade desejada do Sumo de Babosa ao creme de sua preferência, deixe agir por 10 minutos, enxágue e condicione. Finalize como de costume.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INDÚSTRIA E COM. DE COSMÉTICOS </w:t>
                      </w:r>
                      <w:proofErr w:type="gramStart"/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LTDA</w:t>
                      </w:r>
                      <w:proofErr w:type="gramEnd"/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Rua Reis de Abreu, n° 540 - B. </w:t>
                      </w:r>
                      <w:proofErr w:type="gramStart"/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DD46DA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Belo Horizonte/ MG - CNPJ: 22.043.780/0001-90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Proc</w:t>
                      </w:r>
                      <w:proofErr w:type="spellEnd"/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: 25351.680250/2018-06 / </w:t>
                      </w:r>
                      <w:proofErr w:type="gramStart"/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proofErr w:type="gramEnd"/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MS 2.01236.1 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Resp. Téc. Hermes da Fonseca/ CRQ 02300116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9C07D" wp14:editId="265A3FAC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6954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92" w:rsidRDefault="00AE6592" w:rsidP="00AE6592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AE659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SUMO DE BABOSA SOFT HAIR</w:t>
                            </w:r>
                            <w:r w:rsidRPr="00AE659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1434" w:rsidRPr="00B51464" w:rsidRDefault="00AE6592" w:rsidP="00B51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Barbadensis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Hydroxyethylcellulose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Acetate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(Acetato De Sódio),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Cellulose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CI </w:t>
                            </w:r>
                            <w:r w:rsidR="00B51464"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42090, </w:t>
                            </w:r>
                            <w:r w:rsidRPr="00B514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 19140, CI 15510.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" stroked="f">
                <v:textbox>
                  <w:txbxContent>
                    <w:p w:rsidR="00AE6592" w:rsidRDefault="00AE6592" w:rsidP="00AE6592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AE6592">
                        <w:rPr>
                          <w:rFonts w:ascii="Myriad Pro" w:hAnsi="Myriad Pro"/>
                          <w:sz w:val="18"/>
                          <w:szCs w:val="18"/>
                        </w:rPr>
                        <w:t>SUMO DE BABOSA SOFT HAIR</w:t>
                      </w:r>
                      <w:r w:rsidRPr="00AE6592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1434" w:rsidRPr="00B51464" w:rsidRDefault="00AE6592" w:rsidP="00B51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Barbadensis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Hydroxyethylcellulose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Acetate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(Acetato De Sódio),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Cellulose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Etílico), CI </w:t>
                      </w:r>
                      <w:r w:rsidR="00B51464"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42090, </w:t>
                      </w:r>
                      <w:r w:rsidRPr="00B514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 19140, CI 15510.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0CDE6" wp14:editId="70F7969E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  <w:r w:rsidR="00B5146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USO CAPILAR.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  <w:r w:rsidR="00B5146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USO CAPILAR.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46213"/>
    <w:rsid w:val="00061BD2"/>
    <w:rsid w:val="000930F8"/>
    <w:rsid w:val="000A226A"/>
    <w:rsid w:val="00131465"/>
    <w:rsid w:val="0016051C"/>
    <w:rsid w:val="001B7B56"/>
    <w:rsid w:val="0020787A"/>
    <w:rsid w:val="00255A8E"/>
    <w:rsid w:val="003001A9"/>
    <w:rsid w:val="0031069D"/>
    <w:rsid w:val="003161EA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D3D39"/>
    <w:rsid w:val="008A05DE"/>
    <w:rsid w:val="008E580D"/>
    <w:rsid w:val="0093730B"/>
    <w:rsid w:val="00952479"/>
    <w:rsid w:val="009A435A"/>
    <w:rsid w:val="009F40F8"/>
    <w:rsid w:val="00AE6592"/>
    <w:rsid w:val="00AF3220"/>
    <w:rsid w:val="00B00204"/>
    <w:rsid w:val="00B32B22"/>
    <w:rsid w:val="00B33EC1"/>
    <w:rsid w:val="00B3681B"/>
    <w:rsid w:val="00B51464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3</cp:revision>
  <dcterms:created xsi:type="dcterms:W3CDTF">2019-01-22T12:46:00Z</dcterms:created>
  <dcterms:modified xsi:type="dcterms:W3CDTF">2019-06-04T18:01:00Z</dcterms:modified>
</cp:coreProperties>
</file>